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POSTANOWIENIE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8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Dnia 4 kwietnia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Sąd Okręgowy w Krośnie I Wydział Cywilny w składzie następującym: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8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Przewodniczący: Sędzia Martyn Bartnik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625" w:val="left"/>
        </w:tabs>
        <w:bidi w:val="0"/>
        <w:spacing w:before="0" w:after="380" w:line="28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Protokolant:</w:t>
        <w:tab/>
        <w:t>sekretarz sądowy Natalia Tomasik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po rozpoznaniu w dniu 4 kwietnia 2024 roku w Krośnie na rozprawie sprawy z wniosku Romana Bzdyka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z udziałem Marcina Kamińskiego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o wydanie rozstrzygnięcia w trybie wyborczym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postanawia: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26" w:val="left"/>
        </w:tabs>
        <w:bidi w:val="0"/>
        <w:spacing w:before="0" w:after="0" w:line="286" w:lineRule="auto"/>
        <w:ind w:left="1280" w:right="0" w:hanging="6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zakazać uczestnikowi Marcinowi Kamińskiemu rozpowszechniania, w jakiejkolwiek formie, a w szczególności w formie wypowiedzi ustnych i pisemnych, ulotek oraz plakatów wyborczych, nieprawdziwych informacji, dotyczących: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50" w:val="left"/>
        </w:tabs>
        <w:bidi w:val="0"/>
        <w:spacing w:before="0" w:after="0" w:line="286" w:lineRule="auto"/>
        <w:ind w:left="1280" w:right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rzekomego wykorzystania przez Gminę Komańcza ze środków pomocowych jedynie kwoty 6.000.000 zł podczas, gdy w rzeczywistości była to kwota znacznie większa,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50" w:val="left"/>
        </w:tabs>
        <w:bidi w:val="0"/>
        <w:spacing w:before="0" w:after="0" w:line="286" w:lineRule="auto"/>
        <w:ind w:left="1280" w:right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braku współpracy samorządu z miejscowymi przedsiębiorcami,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50" w:val="left"/>
        </w:tabs>
        <w:bidi w:val="0"/>
        <w:spacing w:before="0" w:after="0" w:line="286" w:lineRule="auto"/>
        <w:ind w:left="1280" w:right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braku objęcia połowy mieszkańców gminy dostępem do lekarza Podstawowej Opieki Zdrowotnej podczas, gdy wszyscy zainteresowani mają dostęp do lekarza POZ;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26" w:val="left"/>
        </w:tabs>
        <w:bidi w:val="0"/>
        <w:spacing w:before="0" w:after="0" w:line="286" w:lineRule="auto"/>
        <w:ind w:left="1280" w:right="0" w:hanging="62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nakazać uczestnikowi Marcinowi Kamińskiemu sprostowanie opublikowanych przez niego nieprawdziwych informacji poprzez sporządzenie oświadczenia o następującej treści: „Oświadczam, że jako kandydat na Wójta Gminy Komańcza w wyborach samorządowych odbywających się w 2024 roku, na ulotce wyborczej przeze mnie przygotowanej i rozpowszechnionej na terenie Gminy Komańcza, podałem nieprawdziwe informacje dotyczące: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62" w:val="left"/>
        </w:tabs>
        <w:bidi w:val="0"/>
        <w:spacing w:before="0" w:after="40" w:line="286" w:lineRule="auto"/>
        <w:ind w:left="1640" w:right="0" w:hanging="34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ilości pozyskanych przez Gminę Komańcza środków pomocowych z programów zewnętrznych określając ich wysokość na 6.000.000 zł podczas, gdy była to kwota nie mniejsza niż ok. 14.000.000 zł;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55" w:val="left"/>
        </w:tabs>
        <w:bidi w:val="0"/>
        <w:spacing w:before="0" w:after="0"/>
        <w:ind w:left="1660" w:right="0" w:hanging="34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objęcia opieką POZ jedynie połowy mieszkańców Gminy Komańcza podczas, gdy wszyscy mieszkańcy mają zapewnioną opiekę medyczną tego typu;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55" w:val="left"/>
        </w:tabs>
        <w:bidi w:val="0"/>
        <w:spacing w:before="0" w:after="0"/>
        <w:ind w:left="1660" w:right="0" w:hanging="34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braku współpracy przedstawicieli Gminy z lokalnymi przedsiębiorcami, podczas gdy współpraca ta odbywa się regularnie,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1300" w:right="0"/>
        <w:jc w:val="both"/>
      </w:pPr>
      <w:r>
        <w:rPr>
          <w:color w:val="000000"/>
          <w:spacing w:val="0"/>
          <w:w w:val="100"/>
          <w:position w:val="0"/>
        </w:rPr>
        <w:t>a które to informacje wskazane przeze mnie były nieprawdziwe i narażały Pana Romana Bzdyka na utratę zaufania społecznego oraz zaufania niezbędnego do realizacji zadań publicznych”,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300" w:right="0"/>
        <w:jc w:val="left"/>
      </w:pPr>
      <w:r>
        <w:rPr>
          <w:color w:val="000000"/>
          <w:spacing w:val="0"/>
          <w:w w:val="100"/>
          <w:position w:val="0"/>
        </w:rPr>
        <w:t>a następnie opublikowanie powyższego oświadczenia na koncie należącym do uczestnika - v w\\.</w:t>
      </w:r>
      <w:r>
        <w:rPr>
          <w:color w:val="000000"/>
          <w:spacing w:val="0"/>
          <w:w w:val="100"/>
          <w:position w:val="0"/>
        </w:rPr>
        <w:t>fucc</w:t>
      </w:r>
      <w:r>
        <w:rPr>
          <w:color w:val="000000"/>
          <w:spacing w:val="0"/>
          <w:w w:val="100"/>
          <w:position w:val="0"/>
          <w:u w:val="single"/>
        </w:rPr>
        <w:t>book.co</w:t>
      </w:r>
      <w:r>
        <w:rPr>
          <w:color w:val="000000"/>
          <w:spacing w:val="0"/>
          <w:w w:val="100"/>
          <w:position w:val="0"/>
        </w:rPr>
        <w:t>m</w:t>
      </w:r>
      <w:r>
        <w:rPr>
          <w:color w:val="000000"/>
          <w:spacing w:val="0"/>
          <w:w w:val="100"/>
          <w:position w:val="0"/>
        </w:rPr>
        <w:t>■ iaarcinkamin&gt;ki.50</w:t>
      </w:r>
      <w:r>
        <w:rPr>
          <w:color w:val="000000"/>
          <w:spacing w:val="0"/>
          <w:w w:val="100"/>
          <w:position w:val="0"/>
          <w:u w:val="single"/>
        </w:rPr>
        <w:t xml:space="preserve">95 </w:t>
      </w:r>
      <w:r>
        <w:rPr>
          <w:color w:val="000000"/>
          <w:spacing w:val="0"/>
          <w:w w:val="100"/>
          <w:position w:val="0"/>
        </w:rPr>
        <w:t xml:space="preserve">i jego komitetu wyborczego - w\\ yy. fac u b oo </w:t>
      </w:r>
      <w:r>
        <w:rPr>
          <w:color w:val="000000"/>
          <w:spacing w:val="0"/>
          <w:w w:val="100"/>
          <w:position w:val="0"/>
          <w:u w:val="single"/>
        </w:rPr>
        <w:t>k, c om/k w v\. m arc i</w:t>
      </w:r>
      <w:r>
        <w:rPr>
          <w:color w:val="000000"/>
          <w:spacing w:val="0"/>
          <w:w w:val="100"/>
          <w:position w:val="0"/>
        </w:rPr>
        <w:t xml:space="preserve"> n a k am i n &lt; k i ego (identyfikator strony: 220697884469295)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300" w:right="0"/>
        <w:jc w:val="both"/>
      </w:pPr>
      <w:r>
        <w:rPr>
          <w:color w:val="000000"/>
          <w:spacing w:val="0"/>
          <w:w w:val="100"/>
          <w:position w:val="0"/>
        </w:rPr>
        <w:t>oraz na wszystkich tablicach ogłoszeń administrowanych przez Gminę Komańcza i znajdujących się na jej obszarze, w terminie 24 godzin od dnia uprawomocnienia się niniejszego postanowienia, zaś na wypadek gdyby uczestnik nie wywiązał się z wspomnianego obowiązku przyznać wnioskodawcy uprawnienie do opublikowania powyższego oświadczenia na swoim koncie na Facebooku oraz na koncie jego komitetu wyborczego, a także na wskazanych tablicach ogłoszeniowych;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12700</wp:posOffset>
                </wp:positionV>
                <wp:extent cx="244475" cy="94424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475" cy="9442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</w:t>
                            </w:r>
                            <w:bookmarkEnd w:id="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II.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</w:t>
                            </w:r>
                            <w:bookmarkEnd w:id="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</w:t>
                            </w:r>
                            <w:bookmarkEnd w:id="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3.90000000000001pt;margin-top:1.pt;width:19.25pt;height:74.35000000000000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</w:t>
                      </w:r>
                      <w:bookmarkEnd w:id="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II.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</w:t>
                      </w:r>
                      <w:bookmarkEnd w:id="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</w:t>
                      </w:r>
                      <w:bookmarkEnd w:id="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orzec przepadek ulotek zawierających wyżej wymienione nieprawdziwe stwierdzenia, szczegółowo opisanie w pkt I i II postanowienia;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umorzyć postępowanie w pozostałym zakresie;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/>
        <w:ind w:left="1300" w:right="0" w:hanging="1300"/>
        <w:jc w:val="left"/>
      </w:pPr>
      <w:r>
        <w:rPr>
          <w:color w:val="000000"/>
          <w:spacing w:val="0"/>
          <w:w w:val="100"/>
          <w:position w:val="0"/>
        </w:rPr>
        <w:t>stwierdzić, że strony ponoszą koszty niniejszego postępowania w dotychczasowym zakresie.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86" w:lineRule="auto"/>
        <w:ind w:right="0" w:firstLine="0"/>
        <w:jc w:val="left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2980055</wp:posOffset>
            </wp:positionH>
            <wp:positionV relativeFrom="paragraph">
              <wp:posOffset>12700</wp:posOffset>
            </wp:positionV>
            <wp:extent cx="1310640" cy="1298575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10640" cy="12985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</w:rPr>
        <w:t>Na oryginale właściwe podpisy Za zgodność: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310" w:lineRule="auto"/>
        <w:ind w:left="0" w:right="800" w:firstLine="0"/>
        <w:jc w:val="right"/>
      </w:pPr>
      <w:r>
        <w:rPr>
          <w:i w:val="0"/>
          <w:iCs w:val="0"/>
          <w:spacing w:val="0"/>
          <w:w w:val="100"/>
          <w:position w:val="0"/>
        </w:rPr>
        <w:t>Sekretarz Sądów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310" w:lineRule="auto"/>
        <w:ind w:left="0" w:right="800" w:firstLine="0"/>
        <w:jc w:val="right"/>
      </w:pPr>
      <w:r>
        <w:rPr>
          <w:spacing w:val="0"/>
          <w:w w:val="100"/>
          <w:position w:val="0"/>
        </w:rPr>
        <w:t>Natolin Tb mas i i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Uzasadnienie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Postanowienia z dnia 4 kwietnia 2024r.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Wnioskodawca Roman Bzdyk, jako kandydat na Wójta Gminy Komańcza, domagał się zakazania uczestnikowi Marcinowi Kamińskiemu, jako swojemu kontrkandydatowi, rozpowszechniania w jakiejkolwiek formie nieprawdziwych informacji szczegółowo opisanych w pkt I i II niniejszego postanowienia, a także nakazanie w/wymienionemu sprostowania wspomnianych informacji w sposób opisany w pkt II postanowienia. Dodatkowo żądał on orzeczenia przepadku ulotek zawierających rzeczone nieprawdziwe sformułowania oraz nieobciążania uczestnika kosztami postępowania wyłożonymi przez wnioskodawcę. Cofnął on natomiast wniosek o nakazanie uczestnikowi wpłaty kwoty 3.000 zł na rzecz Stowarzyszenia „Opiekunowie Bieszczadzkiej Historii”.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Uczestnik Marcin Kamiński przychylił się do tak sformułowanych żądań wnioskodawcy i nie sprzeciwił się częściowemu cofnięciu wniosku, który zainicjował niniejsze postępowanie.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Sąd ustalił i zważył,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W ulotkach wyborczych rozpowszechnionych na terenie Gminy Komańcza przez KWW Marcina Kamińskiego zawarte zostały nieprawdziwe informacje dotyczące władz Gminy Komańcza, w tym wnioskodawcy. Jednocześnie materiały te niewątpliwie stanowiły agitację wyborczą w rozumieniu ustawy - Kodeks wyborczy.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Mając powyższe na uwadze, na zasadzie art. 111 §1 pkt 1, 2, 3 i 4 ustawy - Kodeks wyborczy, orzeczono jak w pkt I, II, III postanowienia.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Rozstrzygnięcie zawarte w pkt IV znajduje z kolei oparcie w przepisie art. 355 w zw. z art. 13 §2, a także art. 512 §1 kpc.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20" w:line="33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O kosztach postępowania orzeczono stosownie do treści art. 520 §1 kpc.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69" w:lineRule="auto"/>
        <w:ind w:right="0" w:firstLine="0"/>
        <w:jc w:val="both"/>
      </w:pP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3007995</wp:posOffset>
            </wp:positionH>
            <wp:positionV relativeFrom="paragraph">
              <wp:posOffset>12700</wp:posOffset>
            </wp:positionV>
            <wp:extent cx="1304290" cy="1298575"/>
            <wp:wrapSquare wrapText="righ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04290" cy="12985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</w:rPr>
        <w:t>Na oryginale właściwe podpisy Za zgodność: 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840" w:firstLine="0"/>
        <w:jc w:val="right"/>
      </w:pPr>
      <w:r>
        <w:rPr>
          <w:i w:val="0"/>
          <w:iCs w:val="0"/>
          <w:spacing w:val="0"/>
          <w:w w:val="100"/>
          <w:position w:val="0"/>
        </w:rPr>
        <w:t>Sekretarz Sądowy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840" w:firstLine="0"/>
        <w:jc w:val="right"/>
      </w:pPr>
      <w:r>
        <w:rPr>
          <w:spacing w:val="0"/>
          <w:w w:val="100"/>
          <w:position w:val="0"/>
        </w:rPr>
        <w:t>Natijlia J om asik</w:t>
      </w:r>
    </w:p>
    <w:sectPr>
      <w:headerReference w:type="default" r:id="rId9"/>
      <w:headerReference w:type="even" r:id="rId10"/>
      <w:footnotePr>
        <w:pos w:val="pageBottom"/>
        <w:numFmt w:val="decimal"/>
        <w:numRestart w:val="continuous"/>
      </w:footnotePr>
      <w:pgSz w:w="11900" w:h="16840"/>
      <w:pgMar w:top="1940" w:right="1400" w:bottom="2909" w:left="1637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886460</wp:posOffset>
              </wp:positionV>
              <wp:extent cx="1367155" cy="1530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67155" cy="1530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Sygn. akt I Ns 65/24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5.100000000000009pt;margin-top:69.799999999999997pt;width:107.65000000000001pt;height:12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Sygn. akt I Ns 65/24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5">
    <w:name w:val="Nagłówek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2">
    <w:name w:val="Tekst treści (2)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55177"/>
      <w:sz w:val="20"/>
      <w:szCs w:val="20"/>
      <w:u w:val="none"/>
      <w:shd w:val="clear" w:color="auto" w:fill="auto"/>
    </w:rPr>
  </w:style>
  <w:style w:type="character" w:customStyle="1" w:styleId="CharStyle14">
    <w:name w:val="Tekst treści (3)_"/>
    <w:basedOn w:val="DefaultParagraphFont"/>
    <w:link w:val="Style13"/>
    <w:rPr>
      <w:rFonts w:ascii="Arial" w:eastAsia="Arial" w:hAnsi="Arial" w:cs="Arial"/>
      <w:b w:val="0"/>
      <w:bCs w:val="0"/>
      <w:i/>
      <w:iCs/>
      <w:smallCaps w:val="0"/>
      <w:strike w:val="0"/>
      <w:color w:val="D55177"/>
      <w:sz w:val="20"/>
      <w:szCs w:val="20"/>
      <w:u w:val="none"/>
      <w:shd w:val="clear" w:color="auto" w:fill="auto"/>
    </w:rPr>
  </w:style>
  <w:style w:type="character" w:customStyle="1" w:styleId="CharStyle17">
    <w:name w:val="Tekst treści (4)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288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auto"/>
      <w:spacing w:after="120" w:line="276" w:lineRule="auto"/>
      <w:ind w:left="6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55177"/>
      <w:sz w:val="20"/>
      <w:szCs w:val="20"/>
      <w:u w:val="none"/>
      <w:shd w:val="clear" w:color="auto" w:fill="auto"/>
    </w:rPr>
  </w:style>
  <w:style w:type="paragraph" w:customStyle="1" w:styleId="Style13">
    <w:name w:val="Tekst treści (3)"/>
    <w:basedOn w:val="Normal"/>
    <w:link w:val="CharStyle14"/>
    <w:pPr>
      <w:widowControl w:val="0"/>
      <w:shd w:val="clear" w:color="auto" w:fill="auto"/>
      <w:spacing w:after="220" w:line="274" w:lineRule="auto"/>
      <w:ind w:right="820"/>
      <w:jc w:val="right"/>
    </w:pPr>
    <w:rPr>
      <w:rFonts w:ascii="Arial" w:eastAsia="Arial" w:hAnsi="Arial" w:cs="Arial"/>
      <w:b w:val="0"/>
      <w:bCs w:val="0"/>
      <w:i/>
      <w:iCs/>
      <w:smallCaps w:val="0"/>
      <w:strike w:val="0"/>
      <w:color w:val="D55177"/>
      <w:sz w:val="20"/>
      <w:szCs w:val="20"/>
      <w:u w:val="none"/>
      <w:shd w:val="clear" w:color="auto" w:fill="auto"/>
    </w:rPr>
  </w:style>
  <w:style w:type="paragraph" w:customStyle="1" w:styleId="Style16">
    <w:name w:val="Tekst treści (4)"/>
    <w:basedOn w:val="Normal"/>
    <w:link w:val="CharStyle17"/>
    <w:pPr>
      <w:widowControl w:val="0"/>
      <w:shd w:val="clear" w:color="auto" w:fill="auto"/>
      <w:spacing w:after="17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